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FAB7" w14:textId="77777777" w:rsidR="008A5433" w:rsidRPr="00A12935" w:rsidRDefault="00A12935" w:rsidP="008A5433">
      <w:pPr>
        <w:pStyle w:val="berschrift3"/>
        <w:spacing w:before="246" w:after="246" w:line="300" w:lineRule="atLeast"/>
        <w:divId w:val="1539513361"/>
        <w:rPr>
          <w:rFonts w:ascii="Aptos" w:eastAsia="Times New Roman" w:hAnsi="Aptos" w:cs="Segoe UI"/>
          <w:color w:val="000000"/>
          <w:sz w:val="32"/>
          <w:szCs w:val="32"/>
        </w:rPr>
      </w:pPr>
      <w:r>
        <w:rPr>
          <w:rFonts w:ascii="Aptos" w:hAnsi="Aptos" w:cs="Segoe UI"/>
          <w:color w:val="000000"/>
          <w:szCs w:val="21"/>
        </w:rPr>
        <w:t xml:space="preserve"> </w:t>
      </w:r>
      <w:r w:rsidR="008A5433" w:rsidRPr="00A12935">
        <w:rPr>
          <w:rFonts w:ascii="Aptos" w:eastAsia="Times New Roman" w:hAnsi="Aptos" w:cs="Segoe UI"/>
          <w:color w:val="000000"/>
          <w:sz w:val="32"/>
          <w:szCs w:val="32"/>
        </w:rPr>
        <w:t>Immobilienmarkt in der Dominikanischen Republik</w:t>
      </w:r>
    </w:p>
    <w:p w14:paraId="22957141" w14:textId="3C029F90" w:rsidR="00A12935" w:rsidRPr="00A12935" w:rsidRDefault="00A12935" w:rsidP="008A5433">
      <w:pPr>
        <w:pStyle w:val="StandardWeb"/>
        <w:spacing w:before="75" w:beforeAutospacing="0" w:after="75" w:afterAutospacing="0" w:line="300" w:lineRule="atLeast"/>
        <w:ind w:right="75"/>
        <w:divId w:val="1539513361"/>
        <w:rPr>
          <w:rFonts w:ascii="Aptos" w:eastAsia="Times New Roman" w:hAnsi="Aptos" w:cs="Segoe UI"/>
          <w:color w:val="000000"/>
          <w:szCs w:val="21"/>
        </w:rPr>
      </w:pPr>
    </w:p>
    <w:p w14:paraId="11C2E9E7" w14:textId="77777777" w:rsidR="00A12935" w:rsidRPr="00A12935" w:rsidRDefault="00A12935" w:rsidP="008A5433">
      <w:pPr>
        <w:divId w:val="1539513361"/>
        <w:rPr>
          <w:rFonts w:eastAsiaTheme="minorEastAsia"/>
        </w:rPr>
      </w:pPr>
      <w:r w:rsidRPr="00A12935">
        <w:t>Der Immobilienmarkt in der Dominikanischen Republik zeigt derzeit einen Aufschwung, insbesondere durch den Tourismus und die Nachfrage nach Ferienimmobilien.</w:t>
      </w:r>
    </w:p>
    <w:p w14:paraId="7D93F1D2" w14:textId="77777777" w:rsidR="00A12935" w:rsidRPr="00A12935" w:rsidRDefault="00A12935" w:rsidP="008A5433">
      <w:pPr>
        <w:divId w:val="1539513361"/>
        <w:rPr>
          <w:rFonts w:eastAsia="Times New Roman"/>
          <w:b/>
          <w:bCs/>
        </w:rPr>
      </w:pPr>
      <w:r w:rsidRPr="00A12935">
        <w:rPr>
          <w:rFonts w:eastAsia="Times New Roman"/>
          <w:b/>
          <w:bCs/>
        </w:rPr>
        <w:t>Marktvolumen und Wachstum</w:t>
      </w:r>
    </w:p>
    <w:p w14:paraId="2FB0FA41" w14:textId="77777777" w:rsidR="00A12935" w:rsidRPr="00A12935" w:rsidRDefault="00A12935" w:rsidP="008A5433">
      <w:pPr>
        <w:divId w:val="1539513361"/>
        <w:rPr>
          <w:rFonts w:eastAsiaTheme="minorEastAsia"/>
        </w:rPr>
      </w:pPr>
      <w:r w:rsidRPr="00A12935">
        <w:t xml:space="preserve">Der Markt für Wohnimmobilien wird bis 2025 ein Volumen von über 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550 Milliarden Euro</w:t>
      </w:r>
      <w:r w:rsidRPr="00A12935">
        <w:t xml:space="preserve"> erreichen und ein jährliches Wachstum von etwa 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2,75 %</w:t>
      </w:r>
      <w:r w:rsidRPr="00A12935">
        <w:t xml:space="preserve"> bis 2029 erwarten.</w:t>
      </w:r>
    </w:p>
    <w:p w14:paraId="337D57EC" w14:textId="77777777" w:rsidR="00A12935" w:rsidRPr="00A12935" w:rsidRDefault="00A12935" w:rsidP="008A5433">
      <w:pPr>
        <w:divId w:val="1539513361"/>
        <w:rPr>
          <w:rFonts w:eastAsia="Times New Roman"/>
          <w:b/>
          <w:bCs/>
        </w:rPr>
      </w:pPr>
      <w:r w:rsidRPr="00A12935">
        <w:rPr>
          <w:rFonts w:eastAsia="Times New Roman"/>
          <w:b/>
          <w:bCs/>
        </w:rPr>
        <w:t>Beliebte Regionen</w:t>
      </w:r>
    </w:p>
    <w:p w14:paraId="6AA2B713" w14:textId="77777777" w:rsidR="00A12935" w:rsidRPr="00A12935" w:rsidRDefault="00A12935" w:rsidP="008A5433">
      <w:pPr>
        <w:divId w:val="1539513361"/>
        <w:rPr>
          <w:rFonts w:eastAsiaTheme="minorEastAsia"/>
        </w:rPr>
      </w:pPr>
      <w:r w:rsidRPr="00A12935">
        <w:t xml:space="preserve">Beliebte Regionen wie 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Punta Cana</w:t>
      </w:r>
      <w:r w:rsidRPr="00A12935">
        <w:t xml:space="preserve">, 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 xml:space="preserve">Las </w:t>
      </w:r>
      <w:proofErr w:type="spellStart"/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Terrenas</w:t>
      </w:r>
      <w:proofErr w:type="spellEnd"/>
      <w:r w:rsidRPr="00A12935">
        <w:t xml:space="preserve">, </w:t>
      </w:r>
      <w:proofErr w:type="spellStart"/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Samaná</w:t>
      </w:r>
      <w:proofErr w:type="spellEnd"/>
      <w:r w:rsidRPr="00A12935">
        <w:t xml:space="preserve"> und </w:t>
      </w:r>
      <w:proofErr w:type="spellStart"/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Sosúa</w:t>
      </w:r>
      <w:proofErr w:type="spellEnd"/>
      <w:r w:rsidRPr="00A12935">
        <w:t xml:space="preserve"> ziehen internationale Käufer an.</w:t>
      </w:r>
    </w:p>
    <w:p w14:paraId="7F563289" w14:textId="77777777" w:rsidR="00A12935" w:rsidRPr="00A12935" w:rsidRDefault="00A12935" w:rsidP="008A5433">
      <w:pPr>
        <w:divId w:val="1539513361"/>
        <w:rPr>
          <w:rFonts w:eastAsia="Times New Roman"/>
          <w:b/>
          <w:bCs/>
        </w:rPr>
      </w:pPr>
      <w:r w:rsidRPr="00A12935">
        <w:rPr>
          <w:rFonts w:eastAsia="Times New Roman"/>
          <w:b/>
          <w:bCs/>
        </w:rPr>
        <w:t>Mietrenditen</w:t>
      </w:r>
    </w:p>
    <w:p w14:paraId="28DD9B6C" w14:textId="0184C2DD" w:rsidR="00A12935" w:rsidRPr="00A12935" w:rsidRDefault="00A12935" w:rsidP="008A5433">
      <w:pPr>
        <w:divId w:val="1539513361"/>
        <w:rPr>
          <w:rFonts w:eastAsiaTheme="minorEastAsia"/>
        </w:rPr>
      </w:pPr>
      <w:r w:rsidRPr="00A12935">
        <w:t xml:space="preserve">Die Bruttomietrenditen liegen im Durchschnitt bei 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6,5 %</w:t>
      </w:r>
      <w:r w:rsidRPr="00A12935">
        <w:t xml:space="preserve"> im Stadtzentrum und 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5 %</w:t>
      </w:r>
      <w:r w:rsidRPr="00A12935">
        <w:t xml:space="preserve"> außerhalb, wodurch </w:t>
      </w:r>
      <w:r w:rsidR="008A5433">
        <w:t xml:space="preserve">vor allem </w:t>
      </w:r>
      <w:r w:rsidRPr="00A12935">
        <w:t>Ferienwohnungen eine attraktive Investitionsmöglichkeit darstellen.</w:t>
      </w:r>
    </w:p>
    <w:p w14:paraId="58A03634" w14:textId="77777777" w:rsidR="00A12935" w:rsidRPr="00A12935" w:rsidRDefault="00A12935" w:rsidP="008A5433">
      <w:pPr>
        <w:divId w:val="1539513361"/>
        <w:rPr>
          <w:rFonts w:eastAsia="Times New Roman"/>
          <w:b/>
          <w:bCs/>
        </w:rPr>
      </w:pPr>
      <w:r w:rsidRPr="00A12935">
        <w:rPr>
          <w:rFonts w:eastAsia="Times New Roman"/>
          <w:b/>
          <w:bCs/>
        </w:rPr>
        <w:t>Preise und Käuferinteresse</w:t>
      </w:r>
    </w:p>
    <w:p w14:paraId="154C5D08" w14:textId="67894EB3" w:rsidR="00A12935" w:rsidRPr="00A12935" w:rsidRDefault="00A12935" w:rsidP="008A5433">
      <w:pPr>
        <w:divId w:val="1539513361"/>
        <w:rPr>
          <w:rFonts w:eastAsiaTheme="minorEastAsia"/>
        </w:rPr>
      </w:pPr>
      <w:r w:rsidRPr="00A12935">
        <w:t xml:space="preserve">Die Preise pro Quadratmeter variieren zwischen 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 xml:space="preserve">65.000 und </w:t>
      </w:r>
      <w:r w:rsidR="008A5433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130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.000 RD$</w:t>
      </w:r>
      <w:r w:rsidRPr="00A12935">
        <w:t xml:space="preserve">, was im internationalen Vergleich günstig ist. Es gibt ein zunehmendes Interesse von Käufern aus 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Europa</w:t>
      </w:r>
      <w:r w:rsidRPr="00A12935">
        <w:t xml:space="preserve">, 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Nordamerika</w:t>
      </w:r>
      <w:r w:rsidRPr="00A12935">
        <w:t xml:space="preserve"> und </w:t>
      </w:r>
      <w:r w:rsidRPr="00A12935">
        <w:rPr>
          <w:rStyle w:val="Fett"/>
          <w:rFonts w:ascii="Aptos" w:hAnsi="Aptos" w:cs="Segoe UI"/>
          <w:color w:val="000000"/>
          <w:szCs w:val="21"/>
          <w:bdr w:val="none" w:sz="0" w:space="0" w:color="auto" w:frame="1"/>
        </w:rPr>
        <w:t>Lateinamerika</w:t>
      </w:r>
      <w:r w:rsidRPr="00A12935">
        <w:t xml:space="preserve"> an der Dominikanischen Republik als Zweitwohnsitz oder Investmentstandort.</w:t>
      </w:r>
    </w:p>
    <w:p w14:paraId="4710BECD" w14:textId="5C068FC2" w:rsidR="002C5F57" w:rsidRDefault="00A12935" w:rsidP="008A5433">
      <w:r>
        <w:rPr>
          <w:rFonts w:eastAsia="Times New Roman"/>
        </w:rPr>
        <w:t xml:space="preserve"> </w:t>
      </w:r>
    </w:p>
    <w:sectPr w:rsidR="002C5F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EE90" w14:textId="77777777" w:rsidR="006B141E" w:rsidRDefault="006B141E" w:rsidP="008A5433">
      <w:pPr>
        <w:spacing w:after="0" w:line="240" w:lineRule="auto"/>
      </w:pPr>
      <w:r>
        <w:separator/>
      </w:r>
    </w:p>
  </w:endnote>
  <w:endnote w:type="continuationSeparator" w:id="0">
    <w:p w14:paraId="201CAE78" w14:textId="77777777" w:rsidR="006B141E" w:rsidRDefault="006B141E" w:rsidP="008A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4B1D" w14:textId="77777777" w:rsidR="006B141E" w:rsidRDefault="006B141E" w:rsidP="008A5433">
      <w:pPr>
        <w:spacing w:after="0" w:line="240" w:lineRule="auto"/>
      </w:pPr>
      <w:r>
        <w:separator/>
      </w:r>
    </w:p>
  </w:footnote>
  <w:footnote w:type="continuationSeparator" w:id="0">
    <w:p w14:paraId="61334D1D" w14:textId="77777777" w:rsidR="006B141E" w:rsidRDefault="006B141E" w:rsidP="008A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9E"/>
    <w:rsid w:val="002C5F57"/>
    <w:rsid w:val="0051749E"/>
    <w:rsid w:val="006B141E"/>
    <w:rsid w:val="008A5433"/>
    <w:rsid w:val="00A12935"/>
    <w:rsid w:val="00D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1341"/>
  <w15:chartTrackingRefBased/>
  <w15:docId w15:val="{816A25F0-A181-4C9D-BD86-495F3E59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7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17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17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7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7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7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7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7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7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7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7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74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74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74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74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74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74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7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7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7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74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74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74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7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74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749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A129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A1293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A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433"/>
  </w:style>
  <w:style w:type="paragraph" w:styleId="Fuzeile">
    <w:name w:val="footer"/>
    <w:basedOn w:val="Standard"/>
    <w:link w:val="FuzeileZchn"/>
    <w:uiPriority w:val="99"/>
    <w:unhideWhenUsed/>
    <w:rsid w:val="008A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11625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153951336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864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6164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2055696212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Löffelmacher</dc:creator>
  <cp:keywords/>
  <dc:description/>
  <cp:lastModifiedBy>Dieter Löffelmacher</cp:lastModifiedBy>
  <cp:revision>3</cp:revision>
  <dcterms:created xsi:type="dcterms:W3CDTF">2025-06-17T11:13:00Z</dcterms:created>
  <dcterms:modified xsi:type="dcterms:W3CDTF">2025-06-17T13:46:00Z</dcterms:modified>
</cp:coreProperties>
</file>